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80" w:rsidRDefault="00370580"/>
    <w:p w:rsidR="000776C3" w:rsidRDefault="000776C3" w:rsidP="000776C3">
      <w:r>
        <w:t>Apelo a contributos /Call for Papers</w:t>
      </w:r>
    </w:p>
    <w:p w:rsidR="000776C3" w:rsidRDefault="000776C3" w:rsidP="000776C3">
      <w:r>
        <w:t>Dossier: Austeridade e Regimes de bem-estar e de sexo</w:t>
      </w:r>
      <w:r w:rsidR="009113BE">
        <w:t>/género</w:t>
      </w:r>
    </w:p>
    <w:p w:rsidR="000776C3" w:rsidRPr="000776C3" w:rsidRDefault="000776C3" w:rsidP="000776C3">
      <w:r>
        <w:t>Coordenação: Virgínia Ferreira</w:t>
      </w:r>
      <w:r w:rsidR="00CC75D2">
        <w:t xml:space="preserve"> e Sílvia Portugal</w:t>
      </w:r>
    </w:p>
    <w:p w:rsidR="000776C3" w:rsidRDefault="000776C3" w:rsidP="000776C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</w:pPr>
      <w:r>
        <w:tab/>
      </w:r>
      <w:r w:rsidR="007F01C7">
        <w:t>Desde 2008 que a crise económico-financeira</w:t>
      </w:r>
      <w:r w:rsidR="008B7EA5">
        <w:t>, social e política</w:t>
      </w:r>
      <w:r w:rsidR="007F01C7">
        <w:t xml:space="preserve"> e as medidas políticas implementadas para a enfrentar têm provocado alterações significativas no que respeita aos níveis de bem-estar e proteção social de setores significativos da população, principalmente na Europa e na América do Norte</w:t>
      </w:r>
      <w:r>
        <w:t xml:space="preserve">. </w:t>
      </w:r>
      <w:r w:rsidR="007F01C7">
        <w:t xml:space="preserve">Marcadas pela austeridade e pela retração da despesa pública em proteção social e apoio ao crescimento económico, as políticas públicas têm exacerbado as desigualdades sociais, na medida em que </w:t>
      </w:r>
      <w:r w:rsidR="008B7EA5">
        <w:t xml:space="preserve">tendem a </w:t>
      </w:r>
      <w:r w:rsidR="007F01C7">
        <w:t>privatiza</w:t>
      </w:r>
      <w:r w:rsidR="008B7EA5">
        <w:t>r</w:t>
      </w:r>
      <w:r w:rsidR="007F01C7">
        <w:t xml:space="preserve"> os riscos sociais</w:t>
      </w:r>
      <w:r w:rsidR="008B7EA5">
        <w:t xml:space="preserve"> e a desregulamentar os mercados de trabalho</w:t>
      </w:r>
      <w:r w:rsidR="007F01C7">
        <w:t>.</w:t>
      </w:r>
      <w:r w:rsidR="00701457">
        <w:t xml:space="preserve"> Apesar de a literatura sobre a atual crise e a austeridade ser já abundante, nela raramente encontramos uma perspetiva em que os impactos ao nível dos regimes de sexo/género sejam analisados</w:t>
      </w:r>
      <w:r w:rsidR="004E5D7C">
        <w:t>.</w:t>
      </w:r>
    </w:p>
    <w:p w:rsidR="004653D3" w:rsidRDefault="004653D3" w:rsidP="000776C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</w:pPr>
      <w:r>
        <w:tab/>
        <w:t>Embora as primeiras manifestações da crise tenham atingido primordialmente os setores mais masculinizados do emprego, vários estudos têm vindo a mostrar que o emprego feminino não deixou de ser afetado principalmente como consequência das medidas de austeridade adotadas pelos governos para “combater” a crise, entre as quais se destacam os cortes nos apoios sociais, o aumento dos impostos e a redução dos efetivos da ad</w:t>
      </w:r>
      <w:r w:rsidR="0050744F">
        <w:t xml:space="preserve">ministração pública. </w:t>
      </w:r>
      <w:r w:rsidR="00303ADA">
        <w:t>O princípio</w:t>
      </w:r>
      <w:r w:rsidR="0050744F">
        <w:t xml:space="preserve"> do universalismo</w:t>
      </w:r>
      <w:r w:rsidR="00303ADA">
        <w:t xml:space="preserve"> tem vindo a ser abandonado em favor da seleção. A </w:t>
      </w:r>
      <w:r w:rsidR="0050744F">
        <w:t>generalização da condição da insuficiência de meios dos agregados familiares</w:t>
      </w:r>
      <w:r w:rsidR="00303ADA">
        <w:t xml:space="preserve"> reforça o papel da família e reduz a autonomia das mulheres em áreas chave da cidadania, a nível individual, social e político. As mulheres são uma vez mais relegadas para a “caixa </w:t>
      </w:r>
      <w:r w:rsidR="00A30FB9">
        <w:t>fechada</w:t>
      </w:r>
      <w:r w:rsidR="00303ADA">
        <w:t xml:space="preserve">” da família, de onde lutaram para sair ao longo das últimas décadas. A retração do estado de bem-estar formal </w:t>
      </w:r>
      <w:r w:rsidR="0019464E">
        <w:t>leva a um reforço da “sociedade-providência” informal, cujo principal pilar é a família, que por sua vez tem no trabalho não remunerado das mulheres a sua principal fonte de sustentação.</w:t>
      </w:r>
      <w:r w:rsidR="0050744F">
        <w:t xml:space="preserve"> </w:t>
      </w:r>
      <w:r w:rsidR="0019464E">
        <w:t>Resta, portanto, saber como o reforço</w:t>
      </w:r>
      <w:r w:rsidR="0050744F">
        <w:t xml:space="preserve"> </w:t>
      </w:r>
      <w:r w:rsidR="0019464E">
        <w:t xml:space="preserve">do </w:t>
      </w:r>
      <w:r w:rsidR="0050744F">
        <w:t>carácter contratualista do regime de cidadania e bem-estar, como via de acesso ao gozo de direitos</w:t>
      </w:r>
      <w:r w:rsidR="0019464E">
        <w:t xml:space="preserve"> sociais,</w:t>
      </w:r>
      <w:r w:rsidR="0050744F">
        <w:t xml:space="preserve"> </w:t>
      </w:r>
      <w:r w:rsidR="0019464E">
        <w:t xml:space="preserve">tem implicado a transformação </w:t>
      </w:r>
      <w:r w:rsidR="00303ADA">
        <w:t>das relações sociais de sexo/género</w:t>
      </w:r>
      <w:r w:rsidR="0019464E">
        <w:t xml:space="preserve"> e as respetivas implicações em todas as esferas da vida pessoal, familiar, social, económica e política.</w:t>
      </w:r>
    </w:p>
    <w:p w:rsidR="004E5D7C" w:rsidRDefault="004E5D7C" w:rsidP="000776C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</w:pPr>
      <w:r>
        <w:tab/>
        <w:t xml:space="preserve">Estas mudanças colocam enormes desafios aos estudos feministas, sobre as mulheres e de género. Daí o interesse da </w:t>
      </w:r>
      <w:r w:rsidRPr="008B7EA5">
        <w:rPr>
          <w:i/>
        </w:rPr>
        <w:t xml:space="preserve">ex </w:t>
      </w:r>
      <w:r w:rsidRPr="008B7EA5">
        <w:rPr>
          <w:rFonts w:ascii="Times New Roman" w:hAnsi="Times New Roman" w:cs="Times New Roman"/>
          <w:i/>
        </w:rPr>
        <w:t>æ</w:t>
      </w:r>
      <w:r w:rsidRPr="008B7EA5">
        <w:rPr>
          <w:i/>
        </w:rPr>
        <w:t>quo</w:t>
      </w:r>
      <w:r>
        <w:t xml:space="preserve"> em coligir e visibilizar análises que incluam esta perspetiva, independentemente da área científica de onde provenham (estudos sobre as mulheres/de </w:t>
      </w:r>
      <w:r>
        <w:lastRenderedPageBreak/>
        <w:t>género/feministas, sobre políticas sociais, ou de áreas disciplinares como a sociologia, economia, direito, psicologia, etc.).</w:t>
      </w:r>
    </w:p>
    <w:p w:rsidR="0092451B" w:rsidRPr="0092451B" w:rsidRDefault="000776C3" w:rsidP="0092451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</w:pPr>
      <w:r>
        <w:tab/>
      </w:r>
      <w:r w:rsidRPr="00876155">
        <w:rPr>
          <w:rFonts w:eastAsia="Times New Roman" w:cs="Calibri"/>
        </w:rPr>
        <w:t>Neste dossier temático</w:t>
      </w:r>
      <w:r>
        <w:rPr>
          <w:rFonts w:eastAsia="Times New Roman" w:cs="Calibri"/>
        </w:rPr>
        <w:t xml:space="preserve"> serão aceites contributos que tenham como objeto de análise</w:t>
      </w:r>
      <w:r w:rsidRPr="00876155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as mudanças em curso nos regimes de bem-estar e de sexo/género em consequência das políticas de austeridade adotadas para fazer face à atual crise </w:t>
      </w:r>
      <w:r w:rsidR="00746766">
        <w:rPr>
          <w:rFonts w:eastAsia="Times New Roman" w:cs="Calibri"/>
        </w:rPr>
        <w:t>económico-financeira</w:t>
      </w:r>
      <w:r>
        <w:rPr>
          <w:rFonts w:eastAsia="Times New Roman" w:cs="Calibri"/>
        </w:rPr>
        <w:t xml:space="preserve">. São </w:t>
      </w:r>
      <w:r w:rsidR="00701457">
        <w:rPr>
          <w:rFonts w:eastAsia="Times New Roman" w:cs="Calibri"/>
        </w:rPr>
        <w:t xml:space="preserve">bem-vindos </w:t>
      </w:r>
      <w:r>
        <w:rPr>
          <w:rFonts w:eastAsia="Times New Roman" w:cs="Calibri"/>
        </w:rPr>
        <w:t xml:space="preserve">contributos </w:t>
      </w:r>
      <w:r w:rsidR="00701457">
        <w:rPr>
          <w:rFonts w:eastAsia="Times New Roman" w:cs="Calibri"/>
        </w:rPr>
        <w:t>incidentes</w:t>
      </w:r>
      <w:r w:rsidR="004653D3">
        <w:rPr>
          <w:rFonts w:eastAsia="Times New Roman" w:cs="Calibri"/>
        </w:rPr>
        <w:t xml:space="preserve"> quer</w:t>
      </w:r>
      <w:r w:rsidR="00701457">
        <w:rPr>
          <w:rFonts w:eastAsia="Times New Roman" w:cs="Calibri"/>
        </w:rPr>
        <w:t xml:space="preserve"> sobre estudos de caso (de regiões, de países, de sectores económicos, etc.), quer adotem</w:t>
      </w:r>
      <w:r>
        <w:rPr>
          <w:rFonts w:eastAsia="Times New Roman" w:cs="Calibri"/>
        </w:rPr>
        <w:t xml:space="preserve"> uma perspetiva comparada internacional. </w:t>
      </w:r>
      <w:r w:rsidR="004653D3">
        <w:rPr>
          <w:rFonts w:eastAsia="Times New Roman" w:cs="Calibri"/>
        </w:rPr>
        <w:t>Embora outros tópicos não estejam à partida excluídos, s</w:t>
      </w:r>
      <w:r>
        <w:rPr>
          <w:rFonts w:eastAsia="Times New Roman" w:cs="Calibri"/>
        </w:rPr>
        <w:t>erão privilegiadas as análises que reflitam teórica e empiricamente sobre</w:t>
      </w:r>
      <w:r w:rsidR="004653D3">
        <w:rPr>
          <w:rFonts w:eastAsia="Times New Roman" w:cs="Calibri"/>
        </w:rPr>
        <w:t xml:space="preserve"> os seguintes</w:t>
      </w:r>
      <w:r>
        <w:rPr>
          <w:rFonts w:eastAsia="Times New Roman" w:cs="Calibri"/>
        </w:rPr>
        <w:t>:</w:t>
      </w:r>
    </w:p>
    <w:p w:rsidR="00CC75D2" w:rsidRDefault="00CC75D2" w:rsidP="000776C3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cs="Calibri"/>
        </w:rPr>
      </w:pPr>
      <w:r>
        <w:rPr>
          <w:rFonts w:cs="Calibri"/>
        </w:rPr>
        <w:t>Políticas de aus</w:t>
      </w:r>
      <w:r w:rsidR="00C860D4">
        <w:rPr>
          <w:rFonts w:cs="Calibri"/>
        </w:rPr>
        <w:t>teridade e modelos económico-</w:t>
      </w:r>
      <w:r>
        <w:rPr>
          <w:rFonts w:cs="Calibri"/>
        </w:rPr>
        <w:t>sociais</w:t>
      </w:r>
      <w:r w:rsidR="00C860D4">
        <w:rPr>
          <w:rFonts w:cs="Calibri"/>
        </w:rPr>
        <w:t>, de cidadania</w:t>
      </w:r>
      <w:r>
        <w:rPr>
          <w:rFonts w:cs="Calibri"/>
        </w:rPr>
        <w:t xml:space="preserve"> e de sexo/género</w:t>
      </w:r>
      <w:r w:rsidR="00C860D4">
        <w:rPr>
          <w:rFonts w:cs="Calibri"/>
        </w:rPr>
        <w:t>;</w:t>
      </w:r>
    </w:p>
    <w:p w:rsidR="00336E9A" w:rsidRDefault="00336E9A" w:rsidP="000776C3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cs="Calibri"/>
        </w:rPr>
      </w:pPr>
      <w:r>
        <w:rPr>
          <w:rFonts w:cs="Calibri"/>
        </w:rPr>
        <w:t xml:space="preserve">Análises feministas sobre os impactos diferenciais das políticas de austeridade </w:t>
      </w:r>
      <w:r w:rsidR="00250EFC">
        <w:rPr>
          <w:rFonts w:cs="Calibri"/>
        </w:rPr>
        <w:t>nos padrões de segregação dos mercados de trabalho em regiões/países, sectores de emprego</w:t>
      </w:r>
      <w:r w:rsidR="00C860D4">
        <w:rPr>
          <w:rFonts w:cs="Calibri"/>
        </w:rPr>
        <w:t>, trabalho remunerado/não remunerado</w:t>
      </w:r>
      <w:r w:rsidR="00250EFC">
        <w:rPr>
          <w:rFonts w:cs="Calibri"/>
        </w:rPr>
        <w:t xml:space="preserve"> e</w:t>
      </w:r>
      <w:r>
        <w:rPr>
          <w:rFonts w:cs="Calibri"/>
        </w:rPr>
        <w:t xml:space="preserve"> grupos sociais (em função do sexo, etnia, orientação sexual, classe social, </w:t>
      </w:r>
      <w:r w:rsidR="00CC75D2">
        <w:rPr>
          <w:rFonts w:cs="Calibri"/>
        </w:rPr>
        <w:t>idade, etc.)</w:t>
      </w:r>
      <w:r w:rsidR="00C860D4">
        <w:rPr>
          <w:rFonts w:cs="Calibri"/>
        </w:rPr>
        <w:t>;</w:t>
      </w:r>
    </w:p>
    <w:p w:rsidR="00250EFC" w:rsidRPr="00250EFC" w:rsidRDefault="00250EFC" w:rsidP="00250EFC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cs="Calibri"/>
        </w:rPr>
      </w:pPr>
      <w:r>
        <w:rPr>
          <w:rFonts w:cs="Calibri"/>
        </w:rPr>
        <w:t>Efeitos da crise e das políticas de austeridade sobre os modelos de proteção social e as suas implicações nas relações sociais de sexo/género</w:t>
      </w:r>
      <w:r w:rsidR="00C860D4">
        <w:rPr>
          <w:rFonts w:cs="Calibri"/>
        </w:rPr>
        <w:t>;</w:t>
      </w:r>
    </w:p>
    <w:p w:rsidR="00336E9A" w:rsidRDefault="00336E9A" w:rsidP="000776C3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cs="Calibri"/>
        </w:rPr>
      </w:pPr>
      <w:r>
        <w:rPr>
          <w:rFonts w:cs="Calibri"/>
        </w:rPr>
        <w:t>Investimento social – mudanças e efeitos sobre a articulação da vida profissional e familiar</w:t>
      </w:r>
      <w:r w:rsidR="00C860D4">
        <w:rPr>
          <w:rFonts w:cs="Calibri"/>
        </w:rPr>
        <w:t>;</w:t>
      </w:r>
    </w:p>
    <w:p w:rsidR="0092451B" w:rsidRDefault="0092451B" w:rsidP="000776C3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cs="Calibri"/>
        </w:rPr>
      </w:pPr>
      <w:r>
        <w:rPr>
          <w:rFonts w:cs="Calibri"/>
        </w:rPr>
        <w:t>Discursos sobre a crise</w:t>
      </w:r>
      <w:r w:rsidR="00C860D4">
        <w:rPr>
          <w:rFonts w:cs="Calibri"/>
        </w:rPr>
        <w:t xml:space="preserve"> e as políticas austeritárias</w:t>
      </w:r>
      <w:r>
        <w:rPr>
          <w:rFonts w:cs="Calibri"/>
        </w:rPr>
        <w:t xml:space="preserve"> e respetivas implicações</w:t>
      </w:r>
      <w:r w:rsidR="00336E9A">
        <w:rPr>
          <w:rFonts w:cs="Calibri"/>
        </w:rPr>
        <w:t xml:space="preserve"> para as representações sobre as identidades e as relações de sexo/género</w:t>
      </w:r>
      <w:r w:rsidR="00C860D4">
        <w:rPr>
          <w:rFonts w:cs="Calibri"/>
        </w:rPr>
        <w:t>;</w:t>
      </w:r>
    </w:p>
    <w:p w:rsidR="0092451B" w:rsidRDefault="00746766" w:rsidP="008B7EA5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cs="Calibri"/>
        </w:rPr>
      </w:pPr>
      <w:r>
        <w:rPr>
          <w:rFonts w:cs="Calibri"/>
        </w:rPr>
        <w:t>O regime de sexo/género e os limites do contratualismo</w:t>
      </w:r>
      <w:r w:rsidR="00C860D4">
        <w:rPr>
          <w:rFonts w:cs="Calibri"/>
        </w:rPr>
        <w:t>;</w:t>
      </w:r>
    </w:p>
    <w:p w:rsidR="00545D2C" w:rsidRDefault="004E5D7C" w:rsidP="008B7EA5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cs="Calibri"/>
        </w:rPr>
      </w:pPr>
      <w:r>
        <w:rPr>
          <w:rFonts w:cs="Calibri"/>
        </w:rPr>
        <w:t>Endividamento e g</w:t>
      </w:r>
      <w:r w:rsidR="00545D2C">
        <w:rPr>
          <w:rFonts w:cs="Calibri"/>
        </w:rPr>
        <w:t>estão dos orçamentos familiares;</w:t>
      </w:r>
    </w:p>
    <w:p w:rsidR="00545D2C" w:rsidRPr="004E5D7C" w:rsidRDefault="004E5D7C" w:rsidP="004E5D7C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cs="Calibri"/>
        </w:rPr>
      </w:pPr>
      <w:r>
        <w:rPr>
          <w:rFonts w:cs="Calibri"/>
        </w:rPr>
        <w:t>Desemprego jovem, pre</w:t>
      </w:r>
      <w:r w:rsidR="00EB4519">
        <w:rPr>
          <w:rFonts w:cs="Calibri"/>
        </w:rPr>
        <w:t>carização, limitações de acesso ao crédito para habitação – impactos sobre</w:t>
      </w:r>
      <w:r w:rsidRPr="004E5D7C">
        <w:rPr>
          <w:rFonts w:cs="Calibri"/>
        </w:rPr>
        <w:t xml:space="preserve"> projetos de autonomização pessoal;</w:t>
      </w:r>
    </w:p>
    <w:p w:rsidR="004E5D7C" w:rsidRDefault="004E5D7C" w:rsidP="008B7EA5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cs="Calibri"/>
        </w:rPr>
      </w:pPr>
      <w:r>
        <w:rPr>
          <w:rFonts w:cs="Calibri"/>
        </w:rPr>
        <w:t xml:space="preserve">O subfinanciamento de centros de investigação e impacto nos estudos feministas, sobre as mulheres e de género; </w:t>
      </w:r>
    </w:p>
    <w:p w:rsidR="00EB4519" w:rsidRDefault="00C860D4" w:rsidP="008B7EA5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cs="Calibri"/>
        </w:rPr>
      </w:pPr>
      <w:r>
        <w:rPr>
          <w:rFonts w:cs="Calibri"/>
        </w:rPr>
        <w:t>Modalidades de mobilização coletiva e d</w:t>
      </w:r>
      <w:r w:rsidR="00EB4519">
        <w:rPr>
          <w:rFonts w:cs="Calibri"/>
        </w:rPr>
        <w:t xml:space="preserve">iscursos de resistência às políticas austeritárias </w:t>
      </w:r>
      <w:r>
        <w:rPr>
          <w:rFonts w:cs="Calibri"/>
        </w:rPr>
        <w:t>e respetivas implicações no gender gap</w:t>
      </w:r>
      <w:r w:rsidR="00EB4519">
        <w:rPr>
          <w:rFonts w:cs="Calibri"/>
        </w:rPr>
        <w:t>;</w:t>
      </w:r>
    </w:p>
    <w:p w:rsidR="00EB4519" w:rsidRDefault="00EB4519" w:rsidP="008B7EA5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cs="Calibri"/>
        </w:rPr>
      </w:pPr>
      <w:r>
        <w:rPr>
          <w:rFonts w:cs="Calibri"/>
        </w:rPr>
        <w:t>Exploração de futuros alternativos mais igualitários;</w:t>
      </w:r>
    </w:p>
    <w:p w:rsidR="00EB4519" w:rsidRDefault="00EB4519" w:rsidP="008B7EA5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cs="Calibri"/>
        </w:rPr>
      </w:pPr>
      <w:r>
        <w:rPr>
          <w:rFonts w:cs="Calibri"/>
        </w:rPr>
        <w:t>Reemergência e resistência ao familismo;</w:t>
      </w:r>
    </w:p>
    <w:p w:rsidR="000776C3" w:rsidRPr="00C111FD" w:rsidRDefault="000776C3" w:rsidP="000776C3">
      <w:pPr>
        <w:shd w:val="clear" w:color="auto" w:fill="FFFFFF"/>
        <w:spacing w:before="240" w:after="240" w:line="240" w:lineRule="auto"/>
        <w:ind w:left="360" w:right="-10"/>
        <w:rPr>
          <w:rFonts w:eastAsia="Times New Roman" w:cs="Calibri"/>
          <w:b/>
          <w:bCs/>
        </w:rPr>
      </w:pPr>
      <w:r w:rsidRPr="00C111FD">
        <w:rPr>
          <w:rFonts w:eastAsia="Times New Roman" w:cs="Calibri"/>
          <w:b/>
          <w:bCs/>
        </w:rPr>
        <w:t>Prazo de envio:</w:t>
      </w:r>
    </w:p>
    <w:p w:rsidR="000776C3" w:rsidRDefault="000776C3" w:rsidP="000776C3">
      <w:pPr>
        <w:shd w:val="clear" w:color="auto" w:fill="FFFFFF"/>
        <w:spacing w:before="240" w:after="240" w:line="240" w:lineRule="auto"/>
        <w:ind w:left="360" w:right="-10"/>
        <w:rPr>
          <w:rFonts w:eastAsia="Times New Roman" w:cs="Calibri"/>
        </w:rPr>
      </w:pPr>
      <w:r w:rsidRPr="00381B56">
        <w:rPr>
          <w:rFonts w:eastAsia="Times New Roman" w:cs="Calibri"/>
        </w:rPr>
        <w:t xml:space="preserve">Envio de </w:t>
      </w:r>
      <w:r>
        <w:rPr>
          <w:rFonts w:eastAsia="Times New Roman" w:cs="Calibri"/>
        </w:rPr>
        <w:t xml:space="preserve">artigos com escrupuloso cumprimento segundo normas </w:t>
      </w:r>
      <w:r>
        <w:t>da revista</w:t>
      </w:r>
      <w:r>
        <w:rPr>
          <w:rFonts w:eastAsia="Times New Roman" w:cs="Calibri"/>
        </w:rPr>
        <w:t xml:space="preserve"> até </w:t>
      </w:r>
      <w:r w:rsidRPr="00C111FD">
        <w:rPr>
          <w:rFonts w:eastAsia="Times New Roman" w:cs="Calibri"/>
          <w:b/>
          <w:bCs/>
        </w:rPr>
        <w:t xml:space="preserve">de </w:t>
      </w:r>
      <w:r>
        <w:rPr>
          <w:rFonts w:eastAsia="Times New Roman" w:cs="Calibri"/>
          <w:b/>
          <w:bCs/>
        </w:rPr>
        <w:t>1</w:t>
      </w:r>
      <w:r w:rsidR="002C763D">
        <w:rPr>
          <w:rFonts w:eastAsia="Times New Roman" w:cs="Calibri"/>
          <w:b/>
          <w:bCs/>
        </w:rPr>
        <w:t>5</w:t>
      </w:r>
      <w:bookmarkStart w:id="0" w:name="_GoBack"/>
      <w:bookmarkEnd w:id="0"/>
      <w:r>
        <w:rPr>
          <w:rFonts w:eastAsia="Times New Roman" w:cs="Calibri"/>
          <w:b/>
          <w:bCs/>
        </w:rPr>
        <w:t xml:space="preserve"> de </w:t>
      </w:r>
      <w:r w:rsidR="00037653">
        <w:rPr>
          <w:rFonts w:eastAsia="Times New Roman" w:cs="Calibri"/>
          <w:b/>
          <w:bCs/>
        </w:rPr>
        <w:t>março</w:t>
      </w:r>
      <w:r w:rsidR="00037653" w:rsidRPr="00C111FD">
        <w:rPr>
          <w:rFonts w:eastAsia="Times New Roman" w:cs="Calibri"/>
          <w:b/>
          <w:bCs/>
        </w:rPr>
        <w:t xml:space="preserve"> </w:t>
      </w:r>
      <w:r w:rsidRPr="00C111FD">
        <w:rPr>
          <w:rFonts w:eastAsia="Times New Roman" w:cs="Calibri"/>
          <w:b/>
          <w:bCs/>
        </w:rPr>
        <w:t>de 201</w:t>
      </w:r>
      <w:r>
        <w:rPr>
          <w:rFonts w:eastAsia="Times New Roman" w:cs="Calibri"/>
          <w:b/>
          <w:bCs/>
        </w:rPr>
        <w:t>5</w:t>
      </w:r>
      <w:r>
        <w:rPr>
          <w:rFonts w:eastAsia="Times New Roman" w:cs="Calibri"/>
        </w:rPr>
        <w:t>, ao cuidado de</w:t>
      </w:r>
      <w:r w:rsidRPr="00381B56">
        <w:rPr>
          <w:rFonts w:eastAsia="Times New Roman" w:cs="Calibri"/>
        </w:rPr>
        <w:t xml:space="preserve"> Virgínia Ferreira</w:t>
      </w:r>
      <w:r w:rsidR="008B7EA5">
        <w:rPr>
          <w:rFonts w:eastAsia="Times New Roman" w:cs="Calibri"/>
        </w:rPr>
        <w:t xml:space="preserve"> e Sílvia Portugal</w:t>
      </w:r>
      <w:r>
        <w:rPr>
          <w:rFonts w:eastAsia="Times New Roman" w:cs="Calibri"/>
        </w:rPr>
        <w:t>, responsáve</w:t>
      </w:r>
      <w:r w:rsidR="008B7EA5">
        <w:rPr>
          <w:rFonts w:eastAsia="Times New Roman" w:cs="Calibri"/>
        </w:rPr>
        <w:t>is</w:t>
      </w:r>
      <w:r w:rsidRPr="00381B56">
        <w:rPr>
          <w:rFonts w:eastAsia="Times New Roman" w:cs="Calibri"/>
        </w:rPr>
        <w:t xml:space="preserve"> por este Dossier Temático, para </w:t>
      </w:r>
      <w:hyperlink r:id="rId6" w:history="1">
        <w:r w:rsidRPr="00167CB1">
          <w:rPr>
            <w:rStyle w:val="Hyperlink"/>
            <w:rFonts w:eastAsia="Times New Roman" w:cs="Calibri"/>
          </w:rPr>
          <w:t>apem1991@gmail.com</w:t>
        </w:r>
      </w:hyperlink>
      <w:r w:rsidRPr="00381B56">
        <w:rPr>
          <w:rFonts w:eastAsia="Times New Roman" w:cs="Calibri"/>
        </w:rPr>
        <w:t xml:space="preserve">. </w:t>
      </w:r>
    </w:p>
    <w:p w:rsidR="000776C3" w:rsidRDefault="000776C3" w:rsidP="000776C3">
      <w:r>
        <w:rPr>
          <w:rFonts w:eastAsia="Times New Roman" w:cs="Calibri"/>
        </w:rPr>
        <w:lastRenderedPageBreak/>
        <w:t xml:space="preserve">Os textos que não respeitarem as normas quanto à extensão, à formatação e ao modo de citar e referenciar as fontes bibliográficas </w:t>
      </w:r>
      <w:r w:rsidRPr="00C111FD">
        <w:rPr>
          <w:rFonts w:eastAsia="Times New Roman" w:cs="Calibri"/>
          <w:b/>
          <w:bCs/>
        </w:rPr>
        <w:t>serão excluídos numa primeira triagem</w:t>
      </w:r>
      <w:r>
        <w:rPr>
          <w:rFonts w:eastAsia="Times New Roman" w:cs="Calibri"/>
        </w:rPr>
        <w:t xml:space="preserve"> antes de serem submetidos a arbitragem. </w:t>
      </w:r>
      <w:r w:rsidRPr="00CC2441">
        <w:rPr>
          <w:rFonts w:eastAsia="Times New Roman" w:cs="Calibri"/>
        </w:rPr>
        <w:t>No prazo de quatro semanas após a</w:t>
      </w:r>
      <w:r>
        <w:rPr>
          <w:rFonts w:eastAsia="Times New Roman" w:cs="Calibri"/>
        </w:rPr>
        <w:t xml:space="preserve"> data limite de rece</w:t>
      </w:r>
      <w:r w:rsidRPr="00CC2441">
        <w:rPr>
          <w:rFonts w:eastAsia="Times New Roman" w:cs="Calibri"/>
        </w:rPr>
        <w:t xml:space="preserve">ção, as/os autoras/es receberão a informação sobre </w:t>
      </w:r>
      <w:r>
        <w:rPr>
          <w:rFonts w:eastAsia="Times New Roman" w:cs="Calibri"/>
        </w:rPr>
        <w:t xml:space="preserve">os resultados da primeira triagem e </w:t>
      </w:r>
      <w:r w:rsidRPr="00CC2441">
        <w:rPr>
          <w:rFonts w:eastAsia="Times New Roman" w:cs="Calibri"/>
        </w:rPr>
        <w:t>a passagem à etapa seguinte, isto é, a submissão</w:t>
      </w:r>
      <w:r>
        <w:rPr>
          <w:rFonts w:eastAsia="Times New Roman" w:cs="Calibri"/>
        </w:rPr>
        <w:t>, sob anonimato,</w:t>
      </w:r>
      <w:r w:rsidRPr="00CC2441">
        <w:rPr>
          <w:rFonts w:eastAsia="Times New Roman" w:cs="Calibri"/>
        </w:rPr>
        <w:t xml:space="preserve"> à </w:t>
      </w:r>
      <w:r>
        <w:rPr>
          <w:rFonts w:eastAsia="Times New Roman" w:cs="Calibri"/>
        </w:rPr>
        <w:t xml:space="preserve">dupla </w:t>
      </w:r>
      <w:r w:rsidRPr="00CC2441">
        <w:rPr>
          <w:rFonts w:eastAsia="Times New Roman" w:cs="Calibri"/>
        </w:rPr>
        <w:t>arbitragem científica do texto.</w:t>
      </w:r>
    </w:p>
    <w:sectPr w:rsidR="000776C3" w:rsidSect="00465A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Impac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5937"/>
    <w:multiLevelType w:val="hybridMultilevel"/>
    <w:tmpl w:val="0B9A4CE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C3"/>
    <w:rsid w:val="00037653"/>
    <w:rsid w:val="000776C3"/>
    <w:rsid w:val="0019464E"/>
    <w:rsid w:val="00250EFC"/>
    <w:rsid w:val="002C763D"/>
    <w:rsid w:val="00303ADA"/>
    <w:rsid w:val="00336E9A"/>
    <w:rsid w:val="00370580"/>
    <w:rsid w:val="004653D3"/>
    <w:rsid w:val="00465A2E"/>
    <w:rsid w:val="004E5D7C"/>
    <w:rsid w:val="0050744F"/>
    <w:rsid w:val="00545D2C"/>
    <w:rsid w:val="00701457"/>
    <w:rsid w:val="00746766"/>
    <w:rsid w:val="007F01C7"/>
    <w:rsid w:val="008B7EA5"/>
    <w:rsid w:val="009113BE"/>
    <w:rsid w:val="0092451B"/>
    <w:rsid w:val="00A30FB9"/>
    <w:rsid w:val="00AC65B5"/>
    <w:rsid w:val="00B43D4A"/>
    <w:rsid w:val="00C860D4"/>
    <w:rsid w:val="00CC75D2"/>
    <w:rsid w:val="00D74B3E"/>
    <w:rsid w:val="00D91713"/>
    <w:rsid w:val="00EB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C3"/>
    <w:pPr>
      <w:spacing w:after="200" w:line="276" w:lineRule="auto"/>
    </w:pPr>
    <w:rPr>
      <w:rFonts w:ascii="Calibri" w:eastAsia="PMingLiU" w:hAnsi="Calibri" w:cs="Arial"/>
      <w:lang w:val="pt-PT" w:eastAsia="zh-TW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776C3"/>
    <w:pPr>
      <w:ind w:left="720"/>
      <w:contextualSpacing/>
    </w:pPr>
    <w:rPr>
      <w:lang w:eastAsia="en-US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776C3"/>
    <w:rPr>
      <w:rFonts w:ascii="Calibri" w:eastAsia="PMingLiU" w:hAnsi="Calibri" w:cs="Arial"/>
      <w:lang w:val="pt-PT"/>
    </w:rPr>
  </w:style>
  <w:style w:type="character" w:styleId="Hyperlink">
    <w:name w:val="Hyperlink"/>
    <w:basedOn w:val="DefaultParagraphFont"/>
    <w:uiPriority w:val="99"/>
    <w:rsid w:val="000776C3"/>
    <w:rPr>
      <w:rFonts w:cs="Times New Roman"/>
      <w:color w:val="00663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D4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4A"/>
    <w:rPr>
      <w:rFonts w:ascii="Lucida Grande" w:eastAsia="PMingLiU" w:hAnsi="Lucida Grande" w:cs="Arial"/>
      <w:sz w:val="18"/>
      <w:szCs w:val="18"/>
      <w:lang w:val="pt-PT" w:eastAsia="zh-TW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B43D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D4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D4A"/>
    <w:rPr>
      <w:rFonts w:ascii="Calibri" w:eastAsia="PMingLiU" w:hAnsi="Calibri" w:cs="Arial"/>
      <w:sz w:val="24"/>
      <w:szCs w:val="24"/>
      <w:lang w:val="pt-PT" w:eastAsia="zh-TW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D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D4A"/>
    <w:rPr>
      <w:rFonts w:ascii="Calibri" w:eastAsia="PMingLiU" w:hAnsi="Calibri" w:cs="Arial"/>
      <w:b/>
      <w:bCs/>
      <w:sz w:val="20"/>
      <w:szCs w:val="20"/>
      <w:lang w:val="pt-PT" w:eastAsia="zh-TW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C3"/>
    <w:pPr>
      <w:spacing w:after="200" w:line="276" w:lineRule="auto"/>
    </w:pPr>
    <w:rPr>
      <w:rFonts w:ascii="Calibri" w:eastAsia="PMingLiU" w:hAnsi="Calibri" w:cs="Arial"/>
      <w:lang w:val="pt-PT" w:eastAsia="zh-TW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776C3"/>
    <w:pPr>
      <w:ind w:left="720"/>
      <w:contextualSpacing/>
    </w:pPr>
    <w:rPr>
      <w:lang w:eastAsia="en-US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776C3"/>
    <w:rPr>
      <w:rFonts w:ascii="Calibri" w:eastAsia="PMingLiU" w:hAnsi="Calibri" w:cs="Arial"/>
      <w:lang w:val="pt-PT"/>
    </w:rPr>
  </w:style>
  <w:style w:type="character" w:styleId="Hyperlink">
    <w:name w:val="Hyperlink"/>
    <w:basedOn w:val="DefaultParagraphFont"/>
    <w:uiPriority w:val="99"/>
    <w:rsid w:val="000776C3"/>
    <w:rPr>
      <w:rFonts w:cs="Times New Roman"/>
      <w:color w:val="00663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D4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4A"/>
    <w:rPr>
      <w:rFonts w:ascii="Lucida Grande" w:eastAsia="PMingLiU" w:hAnsi="Lucida Grande" w:cs="Arial"/>
      <w:sz w:val="18"/>
      <w:szCs w:val="18"/>
      <w:lang w:val="pt-PT" w:eastAsia="zh-TW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B43D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D4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D4A"/>
    <w:rPr>
      <w:rFonts w:ascii="Calibri" w:eastAsia="PMingLiU" w:hAnsi="Calibri" w:cs="Arial"/>
      <w:sz w:val="24"/>
      <w:szCs w:val="24"/>
      <w:lang w:val="pt-PT" w:eastAsia="zh-TW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D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D4A"/>
    <w:rPr>
      <w:rFonts w:ascii="Calibri" w:eastAsia="PMingLiU" w:hAnsi="Calibri" w:cs="Arial"/>
      <w:b/>
      <w:bCs/>
      <w:sz w:val="20"/>
      <w:szCs w:val="20"/>
      <w:lang w:val="pt-PT"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em199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alberto</cp:lastModifiedBy>
  <cp:revision>3</cp:revision>
  <dcterms:created xsi:type="dcterms:W3CDTF">2015-01-19T23:48:00Z</dcterms:created>
  <dcterms:modified xsi:type="dcterms:W3CDTF">2015-01-24T21:44:00Z</dcterms:modified>
</cp:coreProperties>
</file>